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DA60" w14:textId="77777777" w:rsidR="004B7BF5" w:rsidRDefault="00935F93" w:rsidP="00451434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Performance Scoring Policy</w:t>
      </w:r>
    </w:p>
    <w:p w14:paraId="08425C6F" w14:textId="77777777" w:rsidR="004B7BF5" w:rsidRDefault="004B7BF5" w:rsidP="0045143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4E0D3B4" w14:textId="707BD5DF" w:rsidR="004B7BF5" w:rsidRDefault="00935F93" w:rsidP="0045143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Applications for </w:t>
      </w:r>
      <w:r w:rsidR="004829CA">
        <w:rPr>
          <w:rFonts w:ascii="Calibri" w:eastAsia="Calibri" w:hAnsi="Calibri" w:cs="Calibri"/>
        </w:rPr>
        <w:t>the Supplemental Unsheltered Homelessness solicitation</w:t>
      </w:r>
      <w:r w:rsidR="00451434">
        <w:rPr>
          <w:rFonts w:ascii="Calibri" w:eastAsia="Calibri" w:hAnsi="Calibri" w:cs="Calibri"/>
        </w:rPr>
        <w:t xml:space="preserve"> will </w:t>
      </w:r>
      <w:r w:rsidR="00451434" w:rsidRPr="002230FA">
        <w:rPr>
          <w:rFonts w:ascii="Calibri" w:eastAsia="Calibri" w:hAnsi="Calibri" w:cs="Calibri"/>
        </w:rPr>
        <w:t xml:space="preserve">undergo a threshold </w:t>
      </w:r>
      <w:r w:rsidRPr="002230FA">
        <w:rPr>
          <w:rFonts w:ascii="Calibri" w:eastAsia="Calibri" w:hAnsi="Calibri" w:cs="Calibri"/>
        </w:rPr>
        <w:t>review</w:t>
      </w:r>
      <w:r>
        <w:rPr>
          <w:rFonts w:ascii="Calibri" w:eastAsia="Calibri" w:hAnsi="Calibri" w:cs="Calibri"/>
        </w:rPr>
        <w:t xml:space="preserve"> to ensure compliance with the HEARTH Act, the </w:t>
      </w:r>
      <w:r w:rsidR="00A75E8C">
        <w:rPr>
          <w:rFonts w:ascii="Calibri" w:eastAsia="Calibri" w:hAnsi="Calibri" w:cs="Calibri"/>
        </w:rPr>
        <w:t>Continuum of Care (</w:t>
      </w:r>
      <w:r>
        <w:rPr>
          <w:rFonts w:ascii="Calibri" w:eastAsia="Calibri" w:hAnsi="Calibri" w:cs="Calibri"/>
        </w:rPr>
        <w:t>CoC</w:t>
      </w:r>
      <w:r w:rsidR="00A75E8C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Program </w:t>
      </w:r>
      <w:r w:rsidR="00A75E8C">
        <w:rPr>
          <w:rFonts w:ascii="Calibri" w:eastAsia="Calibri" w:hAnsi="Calibri" w:cs="Calibri"/>
        </w:rPr>
        <w:t xml:space="preserve">Notice of Funding </w:t>
      </w:r>
      <w:r w:rsidR="004829CA">
        <w:rPr>
          <w:rFonts w:ascii="Calibri" w:eastAsia="Calibri" w:hAnsi="Calibri" w:cs="Calibri"/>
        </w:rPr>
        <w:t>Opportunity</w:t>
      </w:r>
      <w:r w:rsidR="00A75E8C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NOF</w:t>
      </w:r>
      <w:r w:rsidR="004829CA">
        <w:rPr>
          <w:rFonts w:ascii="Calibri" w:eastAsia="Calibri" w:hAnsi="Calibri" w:cs="Calibri"/>
        </w:rPr>
        <w:t>O</w:t>
      </w:r>
      <w:r w:rsidR="00A75E8C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and the local CoC Request for Applications.</w:t>
      </w:r>
      <w:r w:rsidR="00511096">
        <w:rPr>
          <w:rFonts w:ascii="Calibri" w:eastAsia="Calibri" w:hAnsi="Calibri" w:cs="Calibri"/>
        </w:rPr>
        <w:t xml:space="preserve">  Any project not meeting the threshold requirement will not be considered for funding. </w:t>
      </w:r>
    </w:p>
    <w:p w14:paraId="7026A83C" w14:textId="77777777" w:rsidR="004B7BF5" w:rsidRDefault="004B7BF5" w:rsidP="0045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1610EBC7" w14:textId="14A1A596" w:rsidR="004B7BF5" w:rsidRDefault="00935F93" w:rsidP="00451434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Homeless Trust ma</w:t>
      </w:r>
      <w:r w:rsidR="004829CA">
        <w:rPr>
          <w:rFonts w:ascii="Calibri" w:eastAsia="Calibri" w:hAnsi="Calibri" w:cs="Calibri"/>
          <w:color w:val="000000"/>
        </w:rPr>
        <w:t>de this procedure</w:t>
      </w:r>
      <w:r>
        <w:rPr>
          <w:rFonts w:ascii="Calibri" w:eastAsia="Calibri" w:hAnsi="Calibri" w:cs="Calibri"/>
          <w:color w:val="000000"/>
        </w:rPr>
        <w:t xml:space="preserve"> </w:t>
      </w:r>
      <w:r w:rsidR="004B0827">
        <w:rPr>
          <w:rFonts w:ascii="Calibri" w:eastAsia="Calibri" w:hAnsi="Calibri" w:cs="Calibri"/>
          <w:color w:val="000000"/>
        </w:rPr>
        <w:t xml:space="preserve">available </w:t>
      </w:r>
      <w:r w:rsidR="004829CA">
        <w:rPr>
          <w:rFonts w:ascii="Calibri" w:eastAsia="Calibri" w:hAnsi="Calibri" w:cs="Calibri"/>
          <w:color w:val="000000"/>
        </w:rPr>
        <w:t>for public</w:t>
      </w:r>
      <w:r>
        <w:rPr>
          <w:rFonts w:ascii="Calibri" w:eastAsia="Calibri" w:hAnsi="Calibri" w:cs="Calibri"/>
          <w:color w:val="000000"/>
        </w:rPr>
        <w:t xml:space="preserve"> comment on our </w:t>
      </w:r>
      <w:r w:rsidR="000D0922">
        <w:rPr>
          <w:rFonts w:ascii="Calibri" w:eastAsia="Calibri" w:hAnsi="Calibri" w:cs="Calibri"/>
          <w:color w:val="000000"/>
        </w:rPr>
        <w:t>website and</w:t>
      </w:r>
      <w:r>
        <w:rPr>
          <w:rFonts w:ascii="Calibri" w:eastAsia="Calibri" w:hAnsi="Calibri" w:cs="Calibri"/>
          <w:color w:val="000000"/>
        </w:rPr>
        <w:t xml:space="preserve"> </w:t>
      </w:r>
      <w:r w:rsidR="000D0922">
        <w:rPr>
          <w:rFonts w:ascii="Calibri" w:eastAsia="Calibri" w:hAnsi="Calibri" w:cs="Calibri"/>
          <w:color w:val="000000"/>
        </w:rPr>
        <w:t xml:space="preserve">discussed with stakeholders </w:t>
      </w:r>
      <w:r w:rsidR="004829CA">
        <w:rPr>
          <w:rFonts w:ascii="Calibri" w:eastAsia="Calibri" w:hAnsi="Calibri" w:cs="Calibri"/>
          <w:color w:val="000000"/>
        </w:rPr>
        <w:t xml:space="preserve">as part of a publicly </w:t>
      </w:r>
      <w:r w:rsidR="000D0922">
        <w:rPr>
          <w:rFonts w:ascii="Calibri" w:eastAsia="Calibri" w:hAnsi="Calibri" w:cs="Calibri"/>
          <w:color w:val="000000"/>
        </w:rPr>
        <w:t>open</w:t>
      </w:r>
      <w:r w:rsidR="004829CA">
        <w:rPr>
          <w:rFonts w:ascii="Calibri" w:eastAsia="Calibri" w:hAnsi="Calibri" w:cs="Calibri"/>
          <w:color w:val="000000"/>
        </w:rPr>
        <w:t xml:space="preserve"> meeting</w:t>
      </w:r>
      <w:r>
        <w:rPr>
          <w:rFonts w:ascii="Calibri" w:eastAsia="Calibri" w:hAnsi="Calibri" w:cs="Calibri"/>
          <w:color w:val="000000"/>
        </w:rPr>
        <w:t>. Th</w:t>
      </w:r>
      <w:r w:rsidR="000D0922"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</w:rPr>
        <w:t xml:space="preserve"> </w:t>
      </w:r>
      <w:r w:rsidR="00AE6E7F">
        <w:rPr>
          <w:rFonts w:ascii="Calibri" w:eastAsia="Calibri" w:hAnsi="Calibri" w:cs="Calibri"/>
          <w:color w:val="000000"/>
        </w:rPr>
        <w:t xml:space="preserve">HUD </w:t>
      </w:r>
      <w:r w:rsidR="00681C5C">
        <w:rPr>
          <w:rFonts w:ascii="Calibri" w:eastAsia="Calibri" w:hAnsi="Calibri" w:cs="Calibri"/>
          <w:color w:val="000000"/>
        </w:rPr>
        <w:t xml:space="preserve">CoC Project Rating and Ranking </w:t>
      </w:r>
      <w:r w:rsidR="00D473D0">
        <w:rPr>
          <w:rFonts w:ascii="Calibri" w:eastAsia="Calibri" w:hAnsi="Calibri" w:cs="Calibri"/>
          <w:color w:val="000000"/>
        </w:rPr>
        <w:t>T</w:t>
      </w:r>
      <w:r w:rsidR="00681C5C">
        <w:rPr>
          <w:rFonts w:ascii="Calibri" w:eastAsia="Calibri" w:hAnsi="Calibri" w:cs="Calibri"/>
          <w:color w:val="000000"/>
        </w:rPr>
        <w:t>ool</w:t>
      </w:r>
      <w:r w:rsidR="00D64773">
        <w:rPr>
          <w:rFonts w:ascii="Calibri" w:eastAsia="Calibri" w:hAnsi="Calibri" w:cs="Calibri"/>
          <w:color w:val="000000"/>
        </w:rPr>
        <w:t>, with feedback incorporated through the CoC Subcommittee, is</w:t>
      </w:r>
      <w:r>
        <w:rPr>
          <w:rFonts w:ascii="Calibri" w:eastAsia="Calibri" w:hAnsi="Calibri" w:cs="Calibri"/>
          <w:color w:val="000000"/>
        </w:rPr>
        <w:t xml:space="preserve"> </w:t>
      </w:r>
      <w:r w:rsidR="008E1F16">
        <w:rPr>
          <w:rFonts w:ascii="Calibri" w:eastAsia="Calibri" w:hAnsi="Calibri" w:cs="Calibri"/>
          <w:color w:val="000000"/>
        </w:rPr>
        <w:t xml:space="preserve">included in the </w:t>
      </w:r>
      <w:r w:rsidR="00D64773">
        <w:rPr>
          <w:rFonts w:ascii="Calibri" w:eastAsia="Calibri" w:hAnsi="Calibri" w:cs="Calibri"/>
          <w:color w:val="000000"/>
        </w:rPr>
        <w:t xml:space="preserve">local </w:t>
      </w:r>
      <w:r w:rsidR="004829CA">
        <w:rPr>
          <w:rFonts w:ascii="Calibri" w:eastAsia="Calibri" w:hAnsi="Calibri" w:cs="Calibri"/>
          <w:color w:val="000000"/>
        </w:rPr>
        <w:t>NOFO</w:t>
      </w:r>
      <w:r w:rsidR="008E1F16">
        <w:rPr>
          <w:rFonts w:ascii="Calibri" w:eastAsia="Calibri" w:hAnsi="Calibri" w:cs="Calibri"/>
          <w:color w:val="000000"/>
        </w:rPr>
        <w:t xml:space="preserve"> solicitation</w:t>
      </w:r>
      <w:r>
        <w:rPr>
          <w:rFonts w:ascii="Calibri" w:eastAsia="Calibri" w:hAnsi="Calibri" w:cs="Calibri"/>
          <w:color w:val="000000"/>
        </w:rPr>
        <w:t>.</w:t>
      </w:r>
    </w:p>
    <w:p w14:paraId="2231ED03" w14:textId="77777777" w:rsidR="004B7BF5" w:rsidRDefault="004B7BF5" w:rsidP="0045143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818110D" w14:textId="3D40608A" w:rsidR="006458F9" w:rsidRDefault="006458F9" w:rsidP="006458F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Miami-Dade County Mayor appoints a selection committee of subject matter experts to review, rate and rank </w:t>
      </w:r>
      <w:r w:rsidR="000D0922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roject applications.  After meeting the local RFA and program requirements, all </w:t>
      </w:r>
      <w:r w:rsidR="000D0922">
        <w:rPr>
          <w:rFonts w:ascii="Calibri" w:eastAsia="Calibri" w:hAnsi="Calibri" w:cs="Calibri"/>
        </w:rPr>
        <w:t>proposal</w:t>
      </w:r>
      <w:r>
        <w:rPr>
          <w:rFonts w:ascii="Calibri" w:eastAsia="Calibri" w:hAnsi="Calibri" w:cs="Calibri"/>
        </w:rPr>
        <w:t>s are subject to the scoring outlined in the local RFA, Attachment 20. The Selection Committee utilizes scoring to inform the selection of conditional sub-recipients.  The committee has the discretion to select one or more applications for the amount available. The committee also may give staff direction to negotiate with conditional applicants.</w:t>
      </w:r>
    </w:p>
    <w:p w14:paraId="0E53045B" w14:textId="77777777" w:rsidR="006458F9" w:rsidRDefault="006458F9" w:rsidP="006458F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21DAC85D" w14:textId="4966A095" w:rsidR="006458F9" w:rsidRDefault="006458F9" w:rsidP="006458F9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Projects will receive additional points based on the HUD Housing First Assessment Tool</w:t>
      </w:r>
      <w:r w:rsidR="000D0922">
        <w:rPr>
          <w:rFonts w:ascii="Calibri" w:eastAsia="Calibri" w:hAnsi="Calibri" w:cs="Calibri"/>
          <w:color w:val="000000"/>
        </w:rPr>
        <w:t xml:space="preserve"> and their </w:t>
      </w:r>
      <w:r w:rsidR="00403273">
        <w:rPr>
          <w:rFonts w:ascii="Calibri" w:eastAsia="Calibri" w:hAnsi="Calibri" w:cs="Calibri"/>
          <w:color w:val="000000"/>
        </w:rPr>
        <w:t xml:space="preserve">Annual Progress Report (APR) </w:t>
      </w:r>
      <w:r w:rsidR="000D0922">
        <w:rPr>
          <w:rFonts w:ascii="Calibri" w:eastAsia="Calibri" w:hAnsi="Calibri" w:cs="Calibri"/>
          <w:color w:val="000000"/>
        </w:rPr>
        <w:t>performance in like projects</w:t>
      </w:r>
      <w:r>
        <w:rPr>
          <w:rFonts w:ascii="Calibri" w:eastAsia="Calibri" w:hAnsi="Calibri" w:cs="Calibri"/>
          <w:color w:val="000000"/>
        </w:rPr>
        <w:t>.</w:t>
      </w:r>
    </w:p>
    <w:p w14:paraId="0F2B4EE7" w14:textId="77777777" w:rsidR="006458F9" w:rsidRDefault="006458F9" w:rsidP="0045143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10A11D4" w14:textId="75775F06" w:rsidR="00E27B87" w:rsidRDefault="00E27B87" w:rsidP="0045143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Full </w:t>
      </w:r>
      <w:r w:rsidR="002879C5">
        <w:rPr>
          <w:rFonts w:ascii="Calibri" w:eastAsia="Calibri" w:hAnsi="Calibri" w:cs="Calibri"/>
        </w:rPr>
        <w:t xml:space="preserve">Performance </w:t>
      </w:r>
      <w:r>
        <w:rPr>
          <w:rFonts w:ascii="Calibri" w:eastAsia="Calibri" w:hAnsi="Calibri" w:cs="Calibri"/>
        </w:rPr>
        <w:t>Points: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5"/>
        <w:gridCol w:w="1103"/>
        <w:gridCol w:w="1307"/>
        <w:gridCol w:w="1165"/>
      </w:tblGrid>
      <w:tr w:rsidR="00404CF5" w:rsidRPr="00232706" w14:paraId="32E0B45B" w14:textId="77777777" w:rsidTr="00634968">
        <w:tc>
          <w:tcPr>
            <w:tcW w:w="5775" w:type="dxa"/>
          </w:tcPr>
          <w:p w14:paraId="6A5AC110" w14:textId="77777777" w:rsidR="00404CF5" w:rsidRPr="00232706" w:rsidRDefault="00404CF5" w:rsidP="006349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Description of Rating Factor</w:t>
            </w:r>
          </w:p>
        </w:tc>
        <w:tc>
          <w:tcPr>
            <w:tcW w:w="1103" w:type="dxa"/>
          </w:tcPr>
          <w:p w14:paraId="36AD74DB" w14:textId="77777777" w:rsidR="00404CF5" w:rsidRPr="00232706" w:rsidRDefault="00404CF5" w:rsidP="0063496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Applies to</w:t>
            </w:r>
          </w:p>
        </w:tc>
        <w:tc>
          <w:tcPr>
            <w:tcW w:w="1307" w:type="dxa"/>
          </w:tcPr>
          <w:p w14:paraId="3768BA92" w14:textId="77777777" w:rsidR="00404CF5" w:rsidRPr="00232706" w:rsidRDefault="00404CF5" w:rsidP="0063496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232706">
              <w:rPr>
                <w:rFonts w:ascii="Calibri" w:eastAsia="Calibri" w:hAnsi="Calibri" w:cs="Calibri"/>
                <w:b/>
              </w:rPr>
              <w:t>Factor/Goal</w:t>
            </w:r>
          </w:p>
        </w:tc>
        <w:tc>
          <w:tcPr>
            <w:tcW w:w="1165" w:type="dxa"/>
          </w:tcPr>
          <w:p w14:paraId="47CA31AE" w14:textId="77777777" w:rsidR="00404CF5" w:rsidRPr="00232706" w:rsidRDefault="00404CF5" w:rsidP="0063496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232706">
              <w:rPr>
                <w:rFonts w:ascii="Calibri" w:eastAsia="Calibri" w:hAnsi="Calibri" w:cs="Calibri"/>
                <w:b/>
              </w:rPr>
              <w:t>Max Points</w:t>
            </w:r>
          </w:p>
        </w:tc>
      </w:tr>
      <w:tr w:rsidR="00404CF5" w:rsidRPr="00232706" w14:paraId="056DCA65" w14:textId="77777777" w:rsidTr="00634968">
        <w:tc>
          <w:tcPr>
            <w:tcW w:w="9350" w:type="dxa"/>
            <w:gridSpan w:val="4"/>
          </w:tcPr>
          <w:p w14:paraId="7173E038" w14:textId="77777777" w:rsidR="00404CF5" w:rsidRPr="00232706" w:rsidRDefault="00404CF5" w:rsidP="0063496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232706">
              <w:rPr>
                <w:rFonts w:ascii="Calibri" w:eastAsia="Calibri" w:hAnsi="Calibri" w:cs="Calibri"/>
                <w:b/>
              </w:rPr>
              <w:t>Performance Measure</w:t>
            </w:r>
          </w:p>
        </w:tc>
      </w:tr>
      <w:tr w:rsidR="00404CF5" w14:paraId="3942F4B0" w14:textId="77777777" w:rsidTr="00634968">
        <w:tc>
          <w:tcPr>
            <w:tcW w:w="5775" w:type="dxa"/>
          </w:tcPr>
          <w:p w14:paraId="5FFA3684" w14:textId="77777777" w:rsidR="00404CF5" w:rsidRPr="003E0D54" w:rsidRDefault="00404CF5" w:rsidP="0063496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0D54">
              <w:rPr>
                <w:rFonts w:ascii="Calibri" w:eastAsia="Calibri" w:hAnsi="Calibri" w:cs="Calibri"/>
                <w:sz w:val="20"/>
                <w:szCs w:val="20"/>
              </w:rPr>
              <w:t>Average days from project entry to move-in</w:t>
            </w:r>
          </w:p>
        </w:tc>
        <w:tc>
          <w:tcPr>
            <w:tcW w:w="1103" w:type="dxa"/>
          </w:tcPr>
          <w:p w14:paraId="1D0A5E24" w14:textId="77777777" w:rsidR="00404CF5" w:rsidRPr="003E0D54" w:rsidRDefault="00404CF5" w:rsidP="0063496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0D54">
              <w:rPr>
                <w:rFonts w:ascii="Calibri" w:eastAsia="Calibri" w:hAnsi="Calibri" w:cs="Calibri"/>
                <w:sz w:val="20"/>
                <w:szCs w:val="20"/>
              </w:rPr>
              <w:t>RRH</w:t>
            </w:r>
            <w:r w:rsidR="00E27B87" w:rsidRPr="003E0D54">
              <w:rPr>
                <w:rFonts w:ascii="Calibri" w:eastAsia="Calibri" w:hAnsi="Calibri" w:cs="Calibri"/>
                <w:sz w:val="20"/>
                <w:szCs w:val="20"/>
              </w:rPr>
              <w:t>, PSH</w:t>
            </w:r>
          </w:p>
        </w:tc>
        <w:tc>
          <w:tcPr>
            <w:tcW w:w="1307" w:type="dxa"/>
          </w:tcPr>
          <w:p w14:paraId="31CA4C0B" w14:textId="77777777" w:rsidR="00404CF5" w:rsidRPr="003E0D54" w:rsidRDefault="00404CF5" w:rsidP="0063496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0D54">
              <w:rPr>
                <w:rFonts w:ascii="Calibri" w:eastAsia="Calibri" w:hAnsi="Calibri" w:cs="Calibri"/>
                <w:sz w:val="20"/>
                <w:szCs w:val="20"/>
              </w:rPr>
              <w:t>30 days</w:t>
            </w:r>
          </w:p>
        </w:tc>
        <w:tc>
          <w:tcPr>
            <w:tcW w:w="1165" w:type="dxa"/>
          </w:tcPr>
          <w:p w14:paraId="38D407FB" w14:textId="5D315DCA" w:rsidR="00404CF5" w:rsidRPr="003E0D54" w:rsidRDefault="00403273" w:rsidP="0063496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404CF5" w14:paraId="24DAB74A" w14:textId="77777777" w:rsidTr="00634968">
        <w:tc>
          <w:tcPr>
            <w:tcW w:w="5775" w:type="dxa"/>
          </w:tcPr>
          <w:p w14:paraId="58B1C8DF" w14:textId="77777777" w:rsidR="00404CF5" w:rsidRPr="003E0D54" w:rsidRDefault="00404CF5" w:rsidP="0063496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0D54">
              <w:rPr>
                <w:rFonts w:ascii="Calibri" w:eastAsia="Calibri" w:hAnsi="Calibri" w:cs="Calibri"/>
                <w:sz w:val="20"/>
                <w:szCs w:val="20"/>
              </w:rPr>
              <w:t>Retention in or exits to Permanent Housing (PH)</w:t>
            </w:r>
          </w:p>
        </w:tc>
        <w:tc>
          <w:tcPr>
            <w:tcW w:w="1103" w:type="dxa"/>
          </w:tcPr>
          <w:p w14:paraId="3773F10C" w14:textId="4723AC83" w:rsidR="00404CF5" w:rsidRPr="003E0D54" w:rsidRDefault="00E00830" w:rsidP="0063496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CES, </w:t>
            </w:r>
            <w:r w:rsidR="00404CF5" w:rsidRPr="003E0D54">
              <w:rPr>
                <w:rFonts w:ascii="Calibri" w:eastAsia="Calibri" w:hAnsi="Calibri" w:cs="Calibri"/>
                <w:sz w:val="20"/>
                <w:szCs w:val="20"/>
              </w:rPr>
              <w:t>RRH, PSH, TH</w:t>
            </w:r>
          </w:p>
        </w:tc>
        <w:tc>
          <w:tcPr>
            <w:tcW w:w="1307" w:type="dxa"/>
          </w:tcPr>
          <w:p w14:paraId="75F3319F" w14:textId="77777777" w:rsidR="00404CF5" w:rsidRPr="003E0D54" w:rsidRDefault="00404CF5" w:rsidP="0063496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0D54">
              <w:rPr>
                <w:rFonts w:ascii="Calibri" w:eastAsia="Calibri" w:hAnsi="Calibri" w:cs="Calibri"/>
                <w:sz w:val="20"/>
                <w:szCs w:val="20"/>
              </w:rPr>
              <w:t>90%</w:t>
            </w:r>
          </w:p>
        </w:tc>
        <w:tc>
          <w:tcPr>
            <w:tcW w:w="1165" w:type="dxa"/>
          </w:tcPr>
          <w:p w14:paraId="0DC39FEB" w14:textId="41E30F39" w:rsidR="00404CF5" w:rsidRPr="003E0D54" w:rsidRDefault="00403273" w:rsidP="00634968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</w:tr>
      <w:tr w:rsidR="00E00830" w14:paraId="66967AF2" w14:textId="77777777" w:rsidTr="00634968">
        <w:tc>
          <w:tcPr>
            <w:tcW w:w="5775" w:type="dxa"/>
          </w:tcPr>
          <w:p w14:paraId="75B65F35" w14:textId="33607CE2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0D54">
              <w:rPr>
                <w:rFonts w:ascii="Calibri" w:eastAsia="Calibri" w:hAnsi="Calibri" w:cs="Calibri"/>
                <w:sz w:val="20"/>
                <w:szCs w:val="20"/>
              </w:rPr>
              <w:t>Returns to Homelessness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up to 6 months</w:t>
            </w:r>
          </w:p>
        </w:tc>
        <w:tc>
          <w:tcPr>
            <w:tcW w:w="1103" w:type="dxa"/>
          </w:tcPr>
          <w:p w14:paraId="706F5F79" w14:textId="3A7B58D1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053F">
              <w:rPr>
                <w:rFonts w:ascii="Calibri" w:eastAsia="Calibri" w:hAnsi="Calibri" w:cs="Calibri"/>
                <w:sz w:val="20"/>
                <w:szCs w:val="20"/>
              </w:rPr>
              <w:t>CES, RRH, PSH, TH</w:t>
            </w:r>
          </w:p>
        </w:tc>
        <w:tc>
          <w:tcPr>
            <w:tcW w:w="1307" w:type="dxa"/>
          </w:tcPr>
          <w:p w14:paraId="7BAEA275" w14:textId="77777777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0D54">
              <w:rPr>
                <w:rFonts w:ascii="Calibri" w:eastAsia="Calibri" w:hAnsi="Calibri" w:cs="Calibri"/>
                <w:sz w:val="20"/>
                <w:szCs w:val="20"/>
              </w:rPr>
              <w:t>15%</w:t>
            </w:r>
          </w:p>
        </w:tc>
        <w:tc>
          <w:tcPr>
            <w:tcW w:w="1165" w:type="dxa"/>
          </w:tcPr>
          <w:p w14:paraId="759B6C4B" w14:textId="2A5B8717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E00830" w14:paraId="432C0C67" w14:textId="77777777" w:rsidTr="00634968">
        <w:tc>
          <w:tcPr>
            <w:tcW w:w="5775" w:type="dxa"/>
          </w:tcPr>
          <w:p w14:paraId="55DE6FBC" w14:textId="616E7661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0D54">
              <w:rPr>
                <w:rFonts w:ascii="Calibri" w:eastAsia="Calibri" w:hAnsi="Calibri" w:cs="Calibri"/>
                <w:sz w:val="20"/>
                <w:szCs w:val="20"/>
              </w:rPr>
              <w:t>Returns to Homelessness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between 6-12 months</w:t>
            </w:r>
          </w:p>
        </w:tc>
        <w:tc>
          <w:tcPr>
            <w:tcW w:w="1103" w:type="dxa"/>
          </w:tcPr>
          <w:p w14:paraId="5171516B" w14:textId="28ECA475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053F">
              <w:rPr>
                <w:rFonts w:ascii="Calibri" w:eastAsia="Calibri" w:hAnsi="Calibri" w:cs="Calibri"/>
                <w:sz w:val="20"/>
                <w:szCs w:val="20"/>
              </w:rPr>
              <w:t>CES, RRH, PSH, TH</w:t>
            </w:r>
          </w:p>
        </w:tc>
        <w:tc>
          <w:tcPr>
            <w:tcW w:w="1307" w:type="dxa"/>
          </w:tcPr>
          <w:p w14:paraId="034D52B6" w14:textId="5BF1EC76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0D54">
              <w:rPr>
                <w:rFonts w:ascii="Calibri" w:eastAsia="Calibri" w:hAnsi="Calibri" w:cs="Calibri"/>
                <w:sz w:val="20"/>
                <w:szCs w:val="20"/>
              </w:rPr>
              <w:t>15%</w:t>
            </w:r>
          </w:p>
        </w:tc>
        <w:tc>
          <w:tcPr>
            <w:tcW w:w="1165" w:type="dxa"/>
          </w:tcPr>
          <w:p w14:paraId="486AC59E" w14:textId="64355FDC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E00830" w14:paraId="0F75137C" w14:textId="77777777" w:rsidTr="00634968">
        <w:tc>
          <w:tcPr>
            <w:tcW w:w="5775" w:type="dxa"/>
          </w:tcPr>
          <w:p w14:paraId="29362C8B" w14:textId="640FBDF5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0D54">
              <w:rPr>
                <w:rFonts w:ascii="Calibri" w:eastAsia="Calibri" w:hAnsi="Calibri" w:cs="Calibri"/>
                <w:sz w:val="20"/>
                <w:szCs w:val="20"/>
              </w:rPr>
              <w:t>Returns to Homelessness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between 12-24 months</w:t>
            </w:r>
          </w:p>
        </w:tc>
        <w:tc>
          <w:tcPr>
            <w:tcW w:w="1103" w:type="dxa"/>
          </w:tcPr>
          <w:p w14:paraId="1E579A27" w14:textId="2900D19E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053F">
              <w:rPr>
                <w:rFonts w:ascii="Calibri" w:eastAsia="Calibri" w:hAnsi="Calibri" w:cs="Calibri"/>
                <w:sz w:val="20"/>
                <w:szCs w:val="20"/>
              </w:rPr>
              <w:t>CES, RRH, PSH, TH</w:t>
            </w:r>
          </w:p>
        </w:tc>
        <w:tc>
          <w:tcPr>
            <w:tcW w:w="1307" w:type="dxa"/>
          </w:tcPr>
          <w:p w14:paraId="21C192DA" w14:textId="12D59FDB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E0D54">
              <w:rPr>
                <w:rFonts w:ascii="Calibri" w:eastAsia="Calibri" w:hAnsi="Calibri" w:cs="Calibri"/>
                <w:sz w:val="20"/>
                <w:szCs w:val="20"/>
              </w:rPr>
              <w:t>15%</w:t>
            </w:r>
          </w:p>
        </w:tc>
        <w:tc>
          <w:tcPr>
            <w:tcW w:w="1165" w:type="dxa"/>
          </w:tcPr>
          <w:p w14:paraId="1A2B7004" w14:textId="3E0D8C71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E00830" w14:paraId="5C8A22F0" w14:textId="77777777" w:rsidTr="00634968">
        <w:tc>
          <w:tcPr>
            <w:tcW w:w="5775" w:type="dxa"/>
          </w:tcPr>
          <w:p w14:paraId="0E2F1A40" w14:textId="1E04D950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Income data quality</w:t>
            </w:r>
          </w:p>
        </w:tc>
        <w:tc>
          <w:tcPr>
            <w:tcW w:w="1103" w:type="dxa"/>
          </w:tcPr>
          <w:p w14:paraId="400EBF93" w14:textId="1DE03F23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053F">
              <w:rPr>
                <w:rFonts w:ascii="Calibri" w:eastAsia="Calibri" w:hAnsi="Calibri" w:cs="Calibri"/>
                <w:sz w:val="20"/>
                <w:szCs w:val="20"/>
              </w:rPr>
              <w:t>CES, RRH, PSH, TH</w:t>
            </w:r>
          </w:p>
        </w:tc>
        <w:tc>
          <w:tcPr>
            <w:tcW w:w="1307" w:type="dxa"/>
          </w:tcPr>
          <w:p w14:paraId="10D83855" w14:textId="47018ED1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95</w:t>
            </w:r>
            <w:r w:rsidRPr="003E0D54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1165" w:type="dxa"/>
          </w:tcPr>
          <w:p w14:paraId="51F5C4C2" w14:textId="60197436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E00830" w14:paraId="670081DE" w14:textId="77777777" w:rsidTr="00634968">
        <w:tc>
          <w:tcPr>
            <w:tcW w:w="5775" w:type="dxa"/>
          </w:tcPr>
          <w:p w14:paraId="3A6B3092" w14:textId="6F6F22A1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03273">
              <w:rPr>
                <w:rFonts w:ascii="Calibri" w:eastAsia="Calibri" w:hAnsi="Calibri" w:cs="Calibri"/>
                <w:sz w:val="20"/>
                <w:szCs w:val="20"/>
              </w:rPr>
              <w:t xml:space="preserve">Adults who Gained or Increased Income from Start to Exit, Average Gain    </w:t>
            </w:r>
          </w:p>
        </w:tc>
        <w:tc>
          <w:tcPr>
            <w:tcW w:w="1103" w:type="dxa"/>
          </w:tcPr>
          <w:p w14:paraId="3D3333A5" w14:textId="215B507B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0053F">
              <w:rPr>
                <w:rFonts w:ascii="Calibri" w:eastAsia="Calibri" w:hAnsi="Calibri" w:cs="Calibri"/>
                <w:sz w:val="20"/>
                <w:szCs w:val="20"/>
              </w:rPr>
              <w:t>CES, RRH, PSH, TH</w:t>
            </w:r>
          </w:p>
        </w:tc>
        <w:tc>
          <w:tcPr>
            <w:tcW w:w="1307" w:type="dxa"/>
          </w:tcPr>
          <w:p w14:paraId="70511C47" w14:textId="1DFDD474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Pr="003E0D54">
              <w:rPr>
                <w:rFonts w:ascii="Calibri" w:eastAsia="Calibri" w:hAnsi="Calibri" w:cs="Calibri"/>
                <w:sz w:val="20"/>
                <w:szCs w:val="20"/>
              </w:rPr>
              <w:t>%</w:t>
            </w:r>
          </w:p>
        </w:tc>
        <w:tc>
          <w:tcPr>
            <w:tcW w:w="1165" w:type="dxa"/>
          </w:tcPr>
          <w:p w14:paraId="72B6B9BD" w14:textId="33746E7D" w:rsidR="00E00830" w:rsidRPr="003E0D54" w:rsidRDefault="00E00830" w:rsidP="00E008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404CF5" w14:paraId="40329CE1" w14:textId="77777777" w:rsidTr="00634968">
        <w:tc>
          <w:tcPr>
            <w:tcW w:w="9350" w:type="dxa"/>
            <w:gridSpan w:val="4"/>
          </w:tcPr>
          <w:p w14:paraId="70A9E13C" w14:textId="77777777" w:rsidR="00404CF5" w:rsidRDefault="00404CF5" w:rsidP="00634968">
            <w:pPr>
              <w:jc w:val="center"/>
              <w:rPr>
                <w:rFonts w:ascii="Calibri" w:eastAsia="Calibri" w:hAnsi="Calibri" w:cs="Calibri"/>
              </w:rPr>
            </w:pPr>
            <w:r w:rsidRPr="00EC2A81">
              <w:rPr>
                <w:rFonts w:ascii="Calibri" w:eastAsia="Calibri" w:hAnsi="Calibri" w:cs="Calibri"/>
                <w:b/>
              </w:rPr>
              <w:t>Project Effectiveness</w:t>
            </w:r>
          </w:p>
        </w:tc>
      </w:tr>
      <w:tr w:rsidR="00404CF5" w14:paraId="7DB2DAFB" w14:textId="77777777" w:rsidTr="00634968">
        <w:tc>
          <w:tcPr>
            <w:tcW w:w="5775" w:type="dxa"/>
          </w:tcPr>
          <w:p w14:paraId="70B934BC" w14:textId="244BCB85" w:rsidR="00404CF5" w:rsidRPr="003E0D54" w:rsidRDefault="00404CF5" w:rsidP="0063496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E0D54">
              <w:rPr>
                <w:rFonts w:ascii="Calibri" w:eastAsia="Calibri" w:hAnsi="Calibri" w:cs="Calibri"/>
                <w:sz w:val="20"/>
                <w:szCs w:val="20"/>
              </w:rPr>
              <w:t xml:space="preserve">Project </w:t>
            </w:r>
            <w:r w:rsidR="00293F8F">
              <w:rPr>
                <w:rFonts w:ascii="Calibri" w:eastAsia="Calibri" w:hAnsi="Calibri" w:cs="Calibri"/>
                <w:sz w:val="20"/>
                <w:szCs w:val="20"/>
              </w:rPr>
              <w:t>budget is clear, provides the adequate level of support services and is reasonable</w:t>
            </w:r>
          </w:p>
        </w:tc>
        <w:tc>
          <w:tcPr>
            <w:tcW w:w="1103" w:type="dxa"/>
          </w:tcPr>
          <w:p w14:paraId="0C28F7B4" w14:textId="4F0F6353" w:rsidR="00404CF5" w:rsidRPr="003E0D54" w:rsidRDefault="00E00830" w:rsidP="0063496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CES, </w:t>
            </w:r>
            <w:r w:rsidR="00404CF5" w:rsidRPr="003E0D54">
              <w:rPr>
                <w:rFonts w:ascii="Calibri" w:eastAsia="Calibri" w:hAnsi="Calibri" w:cs="Calibri"/>
                <w:sz w:val="20"/>
                <w:szCs w:val="20"/>
              </w:rPr>
              <w:t>RRH, PSH, TH</w:t>
            </w:r>
          </w:p>
        </w:tc>
        <w:tc>
          <w:tcPr>
            <w:tcW w:w="1307" w:type="dxa"/>
          </w:tcPr>
          <w:p w14:paraId="1AB35AFB" w14:textId="32EC2475" w:rsidR="00404CF5" w:rsidRPr="003E0D54" w:rsidRDefault="00FE439D" w:rsidP="0063496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165" w:type="dxa"/>
          </w:tcPr>
          <w:p w14:paraId="6DB61790" w14:textId="62205EFE" w:rsidR="00404CF5" w:rsidRPr="003E0D54" w:rsidRDefault="00E97308" w:rsidP="0063496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</w:tr>
      <w:tr w:rsidR="00404CF5" w14:paraId="001A2D6B" w14:textId="77777777" w:rsidTr="00634968">
        <w:tc>
          <w:tcPr>
            <w:tcW w:w="5775" w:type="dxa"/>
          </w:tcPr>
          <w:p w14:paraId="5187D022" w14:textId="77777777" w:rsidR="00404CF5" w:rsidRPr="003E0D54" w:rsidRDefault="00404CF5" w:rsidP="0063496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0D54">
              <w:rPr>
                <w:rFonts w:ascii="Calibri" w:eastAsia="Calibri" w:hAnsi="Calibri" w:cs="Calibri"/>
                <w:sz w:val="20"/>
                <w:szCs w:val="20"/>
              </w:rPr>
              <w:t>Percentage of referrals received through Coordinate Entry</w:t>
            </w:r>
          </w:p>
        </w:tc>
        <w:tc>
          <w:tcPr>
            <w:tcW w:w="1103" w:type="dxa"/>
          </w:tcPr>
          <w:p w14:paraId="6248996B" w14:textId="77777777" w:rsidR="00404CF5" w:rsidRPr="003E0D54" w:rsidRDefault="00404CF5" w:rsidP="0063496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0D54">
              <w:rPr>
                <w:rFonts w:ascii="Calibri" w:eastAsia="Calibri" w:hAnsi="Calibri" w:cs="Calibri"/>
                <w:sz w:val="20"/>
                <w:szCs w:val="20"/>
              </w:rPr>
              <w:t>RRH, PSH, TH</w:t>
            </w:r>
          </w:p>
        </w:tc>
        <w:tc>
          <w:tcPr>
            <w:tcW w:w="1307" w:type="dxa"/>
          </w:tcPr>
          <w:p w14:paraId="16327B62" w14:textId="77777777" w:rsidR="00404CF5" w:rsidRPr="003E0D54" w:rsidRDefault="00404CF5" w:rsidP="0063496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0D54">
              <w:rPr>
                <w:rFonts w:ascii="Calibri" w:eastAsia="Calibri" w:hAnsi="Calibri" w:cs="Calibri"/>
                <w:sz w:val="20"/>
                <w:szCs w:val="20"/>
              </w:rPr>
              <w:t>95%</w:t>
            </w:r>
          </w:p>
        </w:tc>
        <w:tc>
          <w:tcPr>
            <w:tcW w:w="1165" w:type="dxa"/>
          </w:tcPr>
          <w:p w14:paraId="29B42C74" w14:textId="695691AA" w:rsidR="00404CF5" w:rsidRPr="003E0D54" w:rsidRDefault="00E97308" w:rsidP="0063496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404CF5" w14:paraId="450C3C5C" w14:textId="77777777" w:rsidTr="00634968">
        <w:tc>
          <w:tcPr>
            <w:tcW w:w="5775" w:type="dxa"/>
          </w:tcPr>
          <w:p w14:paraId="074D1C18" w14:textId="77777777" w:rsidR="00404CF5" w:rsidRPr="003E0D54" w:rsidRDefault="00404CF5" w:rsidP="0063496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E0D54">
              <w:rPr>
                <w:rFonts w:ascii="Calibri" w:eastAsia="Calibri" w:hAnsi="Calibri" w:cs="Calibri"/>
                <w:sz w:val="20"/>
                <w:szCs w:val="20"/>
              </w:rPr>
              <w:t>Housing First/Low Barrier Implementation</w:t>
            </w:r>
          </w:p>
        </w:tc>
        <w:tc>
          <w:tcPr>
            <w:tcW w:w="1103" w:type="dxa"/>
          </w:tcPr>
          <w:p w14:paraId="343B7D5E" w14:textId="5413D6BC" w:rsidR="00404CF5" w:rsidRPr="003E0D54" w:rsidRDefault="002879C5" w:rsidP="0063496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CES, </w:t>
            </w:r>
            <w:r w:rsidRPr="003E0D54">
              <w:rPr>
                <w:rFonts w:ascii="Calibri" w:eastAsia="Calibri" w:hAnsi="Calibri" w:cs="Calibri"/>
                <w:sz w:val="20"/>
                <w:szCs w:val="20"/>
              </w:rPr>
              <w:t>RRH, PSH, TH</w:t>
            </w:r>
          </w:p>
        </w:tc>
        <w:tc>
          <w:tcPr>
            <w:tcW w:w="1307" w:type="dxa"/>
          </w:tcPr>
          <w:p w14:paraId="69454D49" w14:textId="50ABAA1A" w:rsidR="00404CF5" w:rsidRPr="003E0D54" w:rsidRDefault="00FE439D" w:rsidP="0063496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165" w:type="dxa"/>
          </w:tcPr>
          <w:p w14:paraId="22B2EBC9" w14:textId="1A8DBB34" w:rsidR="00404CF5" w:rsidRPr="003E0D54" w:rsidRDefault="00E97308" w:rsidP="0063496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2879C5" w14:paraId="4046FA2C" w14:textId="77777777" w:rsidTr="00634968">
        <w:tc>
          <w:tcPr>
            <w:tcW w:w="5775" w:type="dxa"/>
          </w:tcPr>
          <w:p w14:paraId="34535BA7" w14:textId="6ACF9CF9" w:rsidR="002879C5" w:rsidRPr="003E0D54" w:rsidRDefault="002879C5" w:rsidP="0063496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Percentage of two or more contacts</w:t>
            </w:r>
          </w:p>
        </w:tc>
        <w:tc>
          <w:tcPr>
            <w:tcW w:w="1103" w:type="dxa"/>
          </w:tcPr>
          <w:p w14:paraId="7CEFDE32" w14:textId="0BF6FBF3" w:rsidR="002879C5" w:rsidRDefault="002879C5" w:rsidP="0063496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CES</w:t>
            </w:r>
          </w:p>
        </w:tc>
        <w:tc>
          <w:tcPr>
            <w:tcW w:w="1307" w:type="dxa"/>
          </w:tcPr>
          <w:p w14:paraId="192C1DC6" w14:textId="4F72EB5D" w:rsidR="002879C5" w:rsidRDefault="00E97308" w:rsidP="0063496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50%</w:t>
            </w:r>
          </w:p>
        </w:tc>
        <w:tc>
          <w:tcPr>
            <w:tcW w:w="1165" w:type="dxa"/>
          </w:tcPr>
          <w:p w14:paraId="4C7F0747" w14:textId="06BC293A" w:rsidR="002879C5" w:rsidRPr="003E0D54" w:rsidRDefault="00E97308" w:rsidP="0063496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FE439D" w14:paraId="6900CA60" w14:textId="77777777" w:rsidTr="00800754">
        <w:tc>
          <w:tcPr>
            <w:tcW w:w="9350" w:type="dxa"/>
            <w:gridSpan w:val="4"/>
          </w:tcPr>
          <w:p w14:paraId="47C4EE8F" w14:textId="7C88A3DE" w:rsidR="00FE439D" w:rsidRPr="003E0D54" w:rsidRDefault="00FE439D" w:rsidP="00FE439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Other and Local Criteria</w:t>
            </w:r>
          </w:p>
        </w:tc>
      </w:tr>
      <w:tr w:rsidR="00FE439D" w14:paraId="53DD8A11" w14:textId="77777777" w:rsidTr="00634968">
        <w:tc>
          <w:tcPr>
            <w:tcW w:w="5775" w:type="dxa"/>
          </w:tcPr>
          <w:p w14:paraId="6AD3E94B" w14:textId="30F4ABC1" w:rsidR="00FE439D" w:rsidRPr="003E0D54" w:rsidRDefault="00FE439D" w:rsidP="00FE439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CoC Monitoring Score</w:t>
            </w:r>
          </w:p>
        </w:tc>
        <w:tc>
          <w:tcPr>
            <w:tcW w:w="1103" w:type="dxa"/>
          </w:tcPr>
          <w:p w14:paraId="5EA9CAEB" w14:textId="65316492" w:rsidR="00FE439D" w:rsidRPr="003E0D54" w:rsidRDefault="002879C5" w:rsidP="00FE439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CES, </w:t>
            </w:r>
            <w:r w:rsidRPr="003E0D54">
              <w:rPr>
                <w:rFonts w:ascii="Calibri" w:eastAsia="Calibri" w:hAnsi="Calibri" w:cs="Calibri"/>
                <w:sz w:val="20"/>
                <w:szCs w:val="20"/>
              </w:rPr>
              <w:t>RRH, PSH, TH</w:t>
            </w:r>
          </w:p>
        </w:tc>
        <w:tc>
          <w:tcPr>
            <w:tcW w:w="1307" w:type="dxa"/>
          </w:tcPr>
          <w:p w14:paraId="32DA9022" w14:textId="263E790C" w:rsidR="00FE439D" w:rsidRPr="003E0D54" w:rsidRDefault="00FE439D" w:rsidP="00FE439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1165" w:type="dxa"/>
          </w:tcPr>
          <w:p w14:paraId="05D83E60" w14:textId="5C279A6D" w:rsidR="00FE439D" w:rsidRPr="003E0D54" w:rsidRDefault="005D3D01" w:rsidP="00FE439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</w:tbl>
    <w:p w14:paraId="311EB476" w14:textId="0B841712" w:rsidR="004F6CC2" w:rsidRDefault="004F6CC2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01FDCEAA" w14:textId="77777777" w:rsidR="004B7BF5" w:rsidRDefault="00935F9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Ranking Policy</w:t>
      </w:r>
    </w:p>
    <w:p w14:paraId="00EE014A" w14:textId="77777777" w:rsidR="004B7BF5" w:rsidRDefault="004B7BF5" w:rsidP="004F6CC2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35036FB8" w14:textId="63143EEA" w:rsidR="004B7BF5" w:rsidRDefault="00135230" w:rsidP="005D3D0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A75E8C">
        <w:rPr>
          <w:rFonts w:cs="TimesNewRomanPSMT"/>
        </w:rPr>
        <w:t xml:space="preserve">HUD </w:t>
      </w:r>
      <w:r w:rsidR="003A0131" w:rsidRPr="00A75E8C">
        <w:rPr>
          <w:rFonts w:cs="TimesNewRomanPSMT"/>
        </w:rPr>
        <w:t>require</w:t>
      </w:r>
      <w:r w:rsidR="003A0131">
        <w:rPr>
          <w:rFonts w:cs="TimesNewRomanPSMT"/>
        </w:rPr>
        <w:t>s</w:t>
      </w:r>
      <w:r w:rsidRPr="00A75E8C">
        <w:rPr>
          <w:rFonts w:cs="TimesNewRomanPSMT"/>
        </w:rPr>
        <w:t xml:space="preserve"> Collaborative Applicants to rank all projects</w:t>
      </w:r>
      <w:r w:rsidR="005D3D01">
        <w:rPr>
          <w:rFonts w:cs="TimesNewRomanPSMT"/>
        </w:rPr>
        <w:t xml:space="preserve">. </w:t>
      </w:r>
      <w:r w:rsidR="00935F93">
        <w:rPr>
          <w:rFonts w:ascii="Calibri" w:eastAsia="Calibri" w:hAnsi="Calibri" w:cs="Calibri"/>
          <w:color w:val="000000"/>
        </w:rPr>
        <w:t xml:space="preserve">Project components will be organized to best maximize the CoC Consolidated </w:t>
      </w:r>
      <w:r w:rsidR="00951408">
        <w:rPr>
          <w:rFonts w:ascii="Calibri" w:eastAsia="Calibri" w:hAnsi="Calibri" w:cs="Calibri"/>
          <w:color w:val="000000"/>
        </w:rPr>
        <w:t xml:space="preserve">Application </w:t>
      </w:r>
      <w:r w:rsidR="00935F93">
        <w:rPr>
          <w:rFonts w:ascii="Calibri" w:eastAsia="Calibri" w:hAnsi="Calibri" w:cs="Calibri"/>
          <w:color w:val="000000"/>
        </w:rPr>
        <w:t xml:space="preserve">Overall Score. </w:t>
      </w:r>
    </w:p>
    <w:p w14:paraId="5FE1C779" w14:textId="77777777" w:rsidR="004B7BF5" w:rsidRDefault="004B7BF5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73AE60CB" w14:textId="77777777" w:rsidR="004B7BF5" w:rsidRDefault="00935F93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Projects will be ranked as follows: </w:t>
      </w:r>
    </w:p>
    <w:p w14:paraId="15851B3A" w14:textId="77777777" w:rsidR="00E64D87" w:rsidRDefault="00E64D87" w:rsidP="00340426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CoC Planning</w:t>
      </w:r>
    </w:p>
    <w:p w14:paraId="03C444E9" w14:textId="4F51F086" w:rsidR="004B7BF5" w:rsidRPr="00340426" w:rsidRDefault="005D3D01" w:rsidP="00340426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Support Services Only - Coordinated Entry System projects </w:t>
      </w:r>
    </w:p>
    <w:p w14:paraId="61EBA28F" w14:textId="5C880A78" w:rsidR="005D3D01" w:rsidRPr="005D3D01" w:rsidRDefault="005D3D01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Calibri" w:eastAsia="Calibri" w:hAnsi="Calibri" w:cs="Calibri"/>
          <w:color w:val="000000"/>
        </w:rPr>
      </w:pPr>
      <w:r>
        <w:t>Permanent Housing - Permanent Supportive Housing</w:t>
      </w:r>
    </w:p>
    <w:p w14:paraId="28C4B80C" w14:textId="77777777" w:rsidR="00E64D87" w:rsidRPr="008A0FC7" w:rsidRDefault="00E64D87" w:rsidP="00E64D87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Calibri" w:eastAsia="Calibri" w:hAnsi="Calibri" w:cs="Calibri"/>
          <w:color w:val="000000"/>
        </w:rPr>
      </w:pPr>
      <w:r>
        <w:t>Joint Component Transitional Housing with Rapid Rehousing dedicated to unsheltered persons</w:t>
      </w:r>
    </w:p>
    <w:p w14:paraId="6A068BBC" w14:textId="18576611" w:rsidR="005D3D01" w:rsidRPr="005D3D01" w:rsidRDefault="005D3D01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Calibri" w:eastAsia="Calibri" w:hAnsi="Calibri" w:cs="Calibri"/>
          <w:color w:val="000000"/>
        </w:rPr>
      </w:pPr>
      <w:r>
        <w:t>Permanent Housing – Rapid Re</w:t>
      </w:r>
      <w:r w:rsidR="00347B3E">
        <w:t>h</w:t>
      </w:r>
      <w:r>
        <w:t>ousing</w:t>
      </w:r>
    </w:p>
    <w:p w14:paraId="37C0571C" w14:textId="77777777" w:rsidR="004B7BF5" w:rsidRDefault="004B7BF5">
      <w:pPr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68DA9181" w14:textId="77777777" w:rsidR="004B7BF5" w:rsidRDefault="002D2D8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="00935F93">
        <w:rPr>
          <w:rFonts w:ascii="Calibri" w:eastAsia="Calibri" w:hAnsi="Calibri" w:cs="Calibri"/>
        </w:rPr>
        <w:t>Planning Project</w:t>
      </w:r>
      <w:r>
        <w:rPr>
          <w:rFonts w:ascii="Calibri" w:eastAsia="Calibri" w:hAnsi="Calibri" w:cs="Calibri"/>
        </w:rPr>
        <w:t xml:space="preserve"> is</w:t>
      </w:r>
      <w:r w:rsidR="00935F93">
        <w:rPr>
          <w:rFonts w:ascii="Calibri" w:eastAsia="Calibri" w:hAnsi="Calibri" w:cs="Calibri"/>
        </w:rPr>
        <w:t xml:space="preserve"> not ranked.</w:t>
      </w:r>
    </w:p>
    <w:p w14:paraId="240CF4E1" w14:textId="77777777" w:rsidR="004B7BF5" w:rsidRDefault="004B7BF5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0305F80E" w14:textId="11FFB47E" w:rsidR="004B7BF5" w:rsidRDefault="00935F9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Determination of any conditions to </w:t>
      </w:r>
      <w:r w:rsidR="00347B3E">
        <w:rPr>
          <w:rFonts w:ascii="Calibri" w:eastAsia="Calibri" w:hAnsi="Calibri" w:cs="Calibri"/>
        </w:rPr>
        <w:t>fund a proposed project</w:t>
      </w:r>
      <w:r>
        <w:rPr>
          <w:rFonts w:ascii="Calibri" w:eastAsia="Calibri" w:hAnsi="Calibri" w:cs="Calibri"/>
        </w:rPr>
        <w:t xml:space="preserve"> will be made at least </w:t>
      </w:r>
      <w:r w:rsidR="00347B3E"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</w:rPr>
        <w:t xml:space="preserve"> days ahead of the </w:t>
      </w:r>
      <w:r w:rsidR="004829CA">
        <w:rPr>
          <w:rFonts w:ascii="Calibri" w:eastAsia="Calibri" w:hAnsi="Calibri" w:cs="Calibri"/>
        </w:rPr>
        <w:t>NOFO</w:t>
      </w:r>
      <w:r>
        <w:rPr>
          <w:rFonts w:ascii="Calibri" w:eastAsia="Calibri" w:hAnsi="Calibri" w:cs="Calibri"/>
        </w:rPr>
        <w:t xml:space="preserve"> due date. A final list of </w:t>
      </w:r>
      <w:r w:rsidR="00347B3E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rojects</w:t>
      </w:r>
      <w:r w:rsidR="00347B3E">
        <w:rPr>
          <w:rFonts w:ascii="Calibri" w:eastAsia="Calibri" w:hAnsi="Calibri" w:cs="Calibri"/>
        </w:rPr>
        <w:t xml:space="preserve"> to be submitted as part of the collaborative application</w:t>
      </w:r>
      <w:r>
        <w:rPr>
          <w:rFonts w:ascii="Calibri" w:eastAsia="Calibri" w:hAnsi="Calibri" w:cs="Calibri"/>
        </w:rPr>
        <w:t xml:space="preserve"> will be presented to the CoC Board and posted on the Homeless Trust website.</w:t>
      </w:r>
    </w:p>
    <w:sectPr w:rsidR="004B7BF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5095" w14:textId="77777777" w:rsidR="0077150E" w:rsidRDefault="0077150E" w:rsidP="00BB4E01">
      <w:pPr>
        <w:spacing w:after="0" w:line="240" w:lineRule="auto"/>
      </w:pPr>
      <w:r>
        <w:separator/>
      </w:r>
    </w:p>
  </w:endnote>
  <w:endnote w:type="continuationSeparator" w:id="0">
    <w:p w14:paraId="35AAA643" w14:textId="77777777" w:rsidR="0077150E" w:rsidRDefault="0077150E" w:rsidP="00BB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3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4358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AA66751" w14:textId="77777777" w:rsidR="00BB4E01" w:rsidRDefault="00BB4E0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51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51D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D66CEA" w14:textId="77777777" w:rsidR="00BB4E01" w:rsidRDefault="00BB4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6385" w14:textId="77777777" w:rsidR="0077150E" w:rsidRDefault="0077150E" w:rsidP="00BB4E01">
      <w:pPr>
        <w:spacing w:after="0" w:line="240" w:lineRule="auto"/>
      </w:pPr>
      <w:r>
        <w:separator/>
      </w:r>
    </w:p>
  </w:footnote>
  <w:footnote w:type="continuationSeparator" w:id="0">
    <w:p w14:paraId="4A17E484" w14:textId="77777777" w:rsidR="0077150E" w:rsidRDefault="0077150E" w:rsidP="00BB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b/>
        <w:bCs/>
        <w:caps/>
        <w:sz w:val="24"/>
        <w:szCs w:val="24"/>
      </w:rPr>
      <w:alias w:val="Title"/>
      <w:id w:val="77738743"/>
      <w:placeholder>
        <w:docPart w:val="325763B48566456E8E4F94598D3E01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2833AA4" w14:textId="0103FF98" w:rsidR="00BB4E01" w:rsidRDefault="00D64773" w:rsidP="00BB4E01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libri" w:hAnsi="Calibri"/>
            <w:b/>
            <w:bCs/>
            <w:caps/>
            <w:sz w:val="24"/>
            <w:szCs w:val="24"/>
          </w:rPr>
          <w:t xml:space="preserve">COC REVIEW, SCORE, &amp; RANKING PROCEDURES </w:t>
        </w:r>
        <w:r w:rsidR="00E5144B">
          <w:rPr>
            <w:rFonts w:ascii="Calibri" w:hAnsi="Calibri"/>
            <w:b/>
            <w:bCs/>
            <w:caps/>
            <w:sz w:val="24"/>
            <w:szCs w:val="24"/>
          </w:rPr>
          <w:t>for                                                    unsheltered homelessness supplemental NOFO</w:t>
        </w:r>
      </w:p>
    </w:sdtContent>
  </w:sdt>
  <w:p w14:paraId="4F6D54A2" w14:textId="77777777" w:rsidR="00BB4E01" w:rsidRDefault="00BB4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B6C2F"/>
    <w:multiLevelType w:val="multilevel"/>
    <w:tmpl w:val="1CFE7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324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F5"/>
    <w:rsid w:val="000267E6"/>
    <w:rsid w:val="00032532"/>
    <w:rsid w:val="000539DD"/>
    <w:rsid w:val="000A4BC9"/>
    <w:rsid w:val="000B2C75"/>
    <w:rsid w:val="000B4DCC"/>
    <w:rsid w:val="000D0922"/>
    <w:rsid w:val="000D3B4B"/>
    <w:rsid w:val="000F4008"/>
    <w:rsid w:val="001251DC"/>
    <w:rsid w:val="00135230"/>
    <w:rsid w:val="00144D0C"/>
    <w:rsid w:val="0016551C"/>
    <w:rsid w:val="00187C65"/>
    <w:rsid w:val="001B5DD6"/>
    <w:rsid w:val="001C2C9F"/>
    <w:rsid w:val="001F3D68"/>
    <w:rsid w:val="00201295"/>
    <w:rsid w:val="002230FA"/>
    <w:rsid w:val="00256F19"/>
    <w:rsid w:val="00282842"/>
    <w:rsid w:val="00285B69"/>
    <w:rsid w:val="002879C5"/>
    <w:rsid w:val="00293F8F"/>
    <w:rsid w:val="00294DF6"/>
    <w:rsid w:val="002D0E93"/>
    <w:rsid w:val="002D2D86"/>
    <w:rsid w:val="0032345A"/>
    <w:rsid w:val="00324B7B"/>
    <w:rsid w:val="00340426"/>
    <w:rsid w:val="003414F2"/>
    <w:rsid w:val="00347B3E"/>
    <w:rsid w:val="003708CC"/>
    <w:rsid w:val="003802AB"/>
    <w:rsid w:val="003A0131"/>
    <w:rsid w:val="003A2F8F"/>
    <w:rsid w:val="003B36EA"/>
    <w:rsid w:val="003E0D54"/>
    <w:rsid w:val="00403273"/>
    <w:rsid w:val="00404CF5"/>
    <w:rsid w:val="004063C9"/>
    <w:rsid w:val="00435B72"/>
    <w:rsid w:val="00451434"/>
    <w:rsid w:val="0046332B"/>
    <w:rsid w:val="004829CA"/>
    <w:rsid w:val="004A054F"/>
    <w:rsid w:val="004A0CE1"/>
    <w:rsid w:val="004B0827"/>
    <w:rsid w:val="004B7BF5"/>
    <w:rsid w:val="004C4822"/>
    <w:rsid w:val="004F6CC2"/>
    <w:rsid w:val="00511096"/>
    <w:rsid w:val="005208DC"/>
    <w:rsid w:val="00534E3F"/>
    <w:rsid w:val="00544A70"/>
    <w:rsid w:val="00560C7C"/>
    <w:rsid w:val="005927AE"/>
    <w:rsid w:val="005C3AF7"/>
    <w:rsid w:val="005C752A"/>
    <w:rsid w:val="005D3D01"/>
    <w:rsid w:val="005D71E0"/>
    <w:rsid w:val="005E14F8"/>
    <w:rsid w:val="005E2AD3"/>
    <w:rsid w:val="005F118F"/>
    <w:rsid w:val="006407CC"/>
    <w:rsid w:val="006458F9"/>
    <w:rsid w:val="0067415F"/>
    <w:rsid w:val="00681C5C"/>
    <w:rsid w:val="006905C5"/>
    <w:rsid w:val="007029A5"/>
    <w:rsid w:val="00717ED3"/>
    <w:rsid w:val="0073647C"/>
    <w:rsid w:val="00741C74"/>
    <w:rsid w:val="00744162"/>
    <w:rsid w:val="00746E9F"/>
    <w:rsid w:val="00770B03"/>
    <w:rsid w:val="00770FE6"/>
    <w:rsid w:val="0077150E"/>
    <w:rsid w:val="00773E59"/>
    <w:rsid w:val="007B361C"/>
    <w:rsid w:val="007E0CBB"/>
    <w:rsid w:val="00802DAD"/>
    <w:rsid w:val="0080765E"/>
    <w:rsid w:val="00835667"/>
    <w:rsid w:val="00836196"/>
    <w:rsid w:val="00840DAC"/>
    <w:rsid w:val="00841ECF"/>
    <w:rsid w:val="00843325"/>
    <w:rsid w:val="00844254"/>
    <w:rsid w:val="008479E2"/>
    <w:rsid w:val="008633A6"/>
    <w:rsid w:val="008666B7"/>
    <w:rsid w:val="008710C3"/>
    <w:rsid w:val="00877142"/>
    <w:rsid w:val="008A0FC7"/>
    <w:rsid w:val="008A19A4"/>
    <w:rsid w:val="008B1EB0"/>
    <w:rsid w:val="008D37C1"/>
    <w:rsid w:val="008D4943"/>
    <w:rsid w:val="008E1F16"/>
    <w:rsid w:val="008E1F1E"/>
    <w:rsid w:val="008E2409"/>
    <w:rsid w:val="008F37CD"/>
    <w:rsid w:val="009039E8"/>
    <w:rsid w:val="009220B0"/>
    <w:rsid w:val="00935F93"/>
    <w:rsid w:val="009361B5"/>
    <w:rsid w:val="00951408"/>
    <w:rsid w:val="00957C2A"/>
    <w:rsid w:val="00986290"/>
    <w:rsid w:val="009A7C28"/>
    <w:rsid w:val="009B6BE3"/>
    <w:rsid w:val="009D0AE4"/>
    <w:rsid w:val="009F3B81"/>
    <w:rsid w:val="00A109C1"/>
    <w:rsid w:val="00A75E8C"/>
    <w:rsid w:val="00A947C4"/>
    <w:rsid w:val="00AA1515"/>
    <w:rsid w:val="00AA268F"/>
    <w:rsid w:val="00AE6DB6"/>
    <w:rsid w:val="00AE6E7F"/>
    <w:rsid w:val="00B85D37"/>
    <w:rsid w:val="00B95261"/>
    <w:rsid w:val="00BB10E4"/>
    <w:rsid w:val="00BB4E01"/>
    <w:rsid w:val="00BB6C5D"/>
    <w:rsid w:val="00BD4772"/>
    <w:rsid w:val="00BF004C"/>
    <w:rsid w:val="00BF31EC"/>
    <w:rsid w:val="00C07716"/>
    <w:rsid w:val="00C237F2"/>
    <w:rsid w:val="00C9421D"/>
    <w:rsid w:val="00C9428A"/>
    <w:rsid w:val="00C9717E"/>
    <w:rsid w:val="00C97DBE"/>
    <w:rsid w:val="00CA2A98"/>
    <w:rsid w:val="00CD0CAF"/>
    <w:rsid w:val="00CE2D6A"/>
    <w:rsid w:val="00D14FFF"/>
    <w:rsid w:val="00D364DE"/>
    <w:rsid w:val="00D45A7E"/>
    <w:rsid w:val="00D473D0"/>
    <w:rsid w:val="00D543CF"/>
    <w:rsid w:val="00D64773"/>
    <w:rsid w:val="00D821D5"/>
    <w:rsid w:val="00DB4500"/>
    <w:rsid w:val="00DD4202"/>
    <w:rsid w:val="00DE48B8"/>
    <w:rsid w:val="00E00830"/>
    <w:rsid w:val="00E13F29"/>
    <w:rsid w:val="00E27B87"/>
    <w:rsid w:val="00E42524"/>
    <w:rsid w:val="00E427F5"/>
    <w:rsid w:val="00E5144B"/>
    <w:rsid w:val="00E63E0C"/>
    <w:rsid w:val="00E64D87"/>
    <w:rsid w:val="00E97308"/>
    <w:rsid w:val="00EB2257"/>
    <w:rsid w:val="00EC1F7D"/>
    <w:rsid w:val="00ED43B8"/>
    <w:rsid w:val="00EE05C3"/>
    <w:rsid w:val="00EE468C"/>
    <w:rsid w:val="00F02B37"/>
    <w:rsid w:val="00F4561F"/>
    <w:rsid w:val="00F60EA0"/>
    <w:rsid w:val="00FB5677"/>
    <w:rsid w:val="00FD2172"/>
    <w:rsid w:val="00FD47DF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6F318"/>
  <w15:docId w15:val="{4AB915E0-7366-4355-9941-51E39F71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7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7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E01"/>
  </w:style>
  <w:style w:type="paragraph" w:styleId="Footer">
    <w:name w:val="footer"/>
    <w:basedOn w:val="Normal"/>
    <w:link w:val="FooterChar"/>
    <w:uiPriority w:val="99"/>
    <w:unhideWhenUsed/>
    <w:rsid w:val="00BB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E01"/>
  </w:style>
  <w:style w:type="paragraph" w:styleId="Revision">
    <w:name w:val="Revision"/>
    <w:hidden/>
    <w:uiPriority w:val="99"/>
    <w:semiHidden/>
    <w:rsid w:val="00CA2A98"/>
    <w:pPr>
      <w:spacing w:after="0" w:line="240" w:lineRule="auto"/>
    </w:pPr>
  </w:style>
  <w:style w:type="table" w:styleId="TableGrid">
    <w:name w:val="Table Grid"/>
    <w:basedOn w:val="TableNormal"/>
    <w:uiPriority w:val="39"/>
    <w:rsid w:val="00404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5763B48566456E8E4F94598D3E0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BE98-768B-4132-8E77-616242F019C4}"/>
      </w:docPartPr>
      <w:docPartBody>
        <w:p w:rsidR="00F063E6" w:rsidRDefault="008925BA" w:rsidP="008925BA">
          <w:pPr>
            <w:pStyle w:val="325763B48566456E8E4F94598D3E01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3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5BA"/>
    <w:rsid w:val="00200F01"/>
    <w:rsid w:val="00281739"/>
    <w:rsid w:val="004915AA"/>
    <w:rsid w:val="005E2380"/>
    <w:rsid w:val="007C4DDA"/>
    <w:rsid w:val="008925BA"/>
    <w:rsid w:val="008D1038"/>
    <w:rsid w:val="009978DF"/>
    <w:rsid w:val="00AB5355"/>
    <w:rsid w:val="00B850AF"/>
    <w:rsid w:val="00C04053"/>
    <w:rsid w:val="00C2134B"/>
    <w:rsid w:val="00C54B3E"/>
    <w:rsid w:val="00D83B9C"/>
    <w:rsid w:val="00F063E6"/>
    <w:rsid w:val="00F4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5763B48566456E8E4F94598D3E01BC">
    <w:name w:val="325763B48566456E8E4F94598D3E01BC"/>
    <w:rsid w:val="008925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6D56-309C-4F5C-9B0A-C115865E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 REVIEW, SCORE, &amp; RANKING PROCEDURES for                                                    unsheltered homelessness supplemental NOFO</vt:lpstr>
    </vt:vector>
  </TitlesOfParts>
  <Company>Microsoft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 REVIEW, SCORE, &amp; RANKING PROCEDURES for                                                    unsheltered homelessness supplemental NOFO</dc:title>
  <dc:creator>Sarria, Manuel (HT)</dc:creator>
  <cp:lastModifiedBy>Sarria, Manuel (HT)</cp:lastModifiedBy>
  <cp:revision>5</cp:revision>
  <cp:lastPrinted>2020-12-06T15:31:00Z</cp:lastPrinted>
  <dcterms:created xsi:type="dcterms:W3CDTF">2022-06-26T17:54:00Z</dcterms:created>
  <dcterms:modified xsi:type="dcterms:W3CDTF">2022-06-30T11:45:00Z</dcterms:modified>
</cp:coreProperties>
</file>